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Классический напольный кулер для воды Aqua Work 16-LR с нагревом и компрессорной системой охлаждения, простой аппарат "без наворотов".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Нагрев - не менее 7 литров в час до температуры 90-96 </w:t>
      </w: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º</w:t>
      </w: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С (мощность 700 Вт, бак объемом 1 литр);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Охлаждение - не менее 2 литров за час до температуры 7-10 градусов;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Два краника типа "нажим кружкой";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Высота аппарата - 960 мм, такой "рост" удобен для большинства пользователей кулера;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Строгий минималистический дизайн;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Индикаторы режимов работы (подключение к сети, нагрев и охлаждение) в черном прямоугольном блоке вверху аппарата;</w:t>
      </w:r>
    </w:p>
    <w:p>
      <w:pPr>
        <w:spacing w:before="0" w:after="200" w:line="276"/>
        <w:ind w:right="0" w:left="0" w:firstLine="0"/>
        <w:jc w:val="left"/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</w:pPr>
      <w:r>
        <w:rPr>
          <w:rFonts w:ascii="Trebuchet MS" w:hAnsi="Trebuchet MS" w:cs="Trebuchet MS" w:eastAsia="Trebuchet MS"/>
          <w:color w:val="333333"/>
          <w:spacing w:val="0"/>
          <w:position w:val="0"/>
          <w:sz w:val="28"/>
          <w:shd w:fill="F7F7F7" w:val="clear"/>
        </w:rPr>
        <w:t xml:space="preserve">Стальной корпус позволяет закреплять стаканодержатели на магните или на двойном скотче;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